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CA5F9" w14:textId="77777777" w:rsidR="00B62033" w:rsidRPr="00B62033" w:rsidRDefault="00B62033" w:rsidP="00B62033">
      <w:r w:rsidRPr="00B62033">
        <w:t>To</w:t>
      </w:r>
      <w:r w:rsidRPr="00B62033">
        <w:br/>
        <w:t>The Secretary</w:t>
      </w:r>
      <w:r w:rsidRPr="00B62033">
        <w:br/>
        <w:t>International Accounting Standards Board (IASB)</w:t>
      </w:r>
      <w:r w:rsidRPr="00B62033">
        <w:br/>
        <w:t>IFRS Foundation</w:t>
      </w:r>
    </w:p>
    <w:p w14:paraId="42682C3B" w14:textId="77777777" w:rsidR="00B62033" w:rsidRPr="00B62033" w:rsidRDefault="00B62033" w:rsidP="00B62033">
      <w:r w:rsidRPr="00B62033">
        <w:rPr>
          <w:b/>
          <w:bCs/>
        </w:rPr>
        <w:t>Subject:</w:t>
      </w:r>
      <w:r w:rsidRPr="00B62033">
        <w:t xml:space="preserve"> Comments on Exposure Draft – Risk Mitigation Accounting (Proposed amendments to IFRS 9 and IFRS 7)</w:t>
      </w:r>
    </w:p>
    <w:p w14:paraId="3175A70E" w14:textId="77777777" w:rsidR="00B62033" w:rsidRPr="00B62033" w:rsidRDefault="00B62033" w:rsidP="00B62033">
      <w:r w:rsidRPr="00B62033">
        <w:t>Dear Sir/Madam,</w:t>
      </w:r>
    </w:p>
    <w:p w14:paraId="099692D7" w14:textId="77777777" w:rsidR="00B62033" w:rsidRPr="00B62033" w:rsidRDefault="00B62033" w:rsidP="00B62033">
      <w:r w:rsidRPr="00B62033">
        <w:t xml:space="preserve">We appreciate the efforts of the IASB in issuing the Exposure Draft on </w:t>
      </w:r>
      <w:r w:rsidRPr="00B62033">
        <w:rPr>
          <w:b/>
          <w:bCs/>
        </w:rPr>
        <w:t>Risk Mitigation Accounting</w:t>
      </w:r>
      <w:r w:rsidRPr="00B62033">
        <w:t>, addressing long-standing challenges in faithfully representing dynamic risk management and repricing risk in financial statements. The proposed model is a significant step toward aligning accounting outcomes with actual risk management practices.</w:t>
      </w:r>
    </w:p>
    <w:p w14:paraId="708BF1E8" w14:textId="77777777" w:rsidR="00B62033" w:rsidRPr="00B62033" w:rsidRDefault="00B62033" w:rsidP="00B62033">
      <w:r w:rsidRPr="00B62033">
        <w:t>Our brief comments and suggestions are as under:</w:t>
      </w:r>
    </w:p>
    <w:p w14:paraId="43CC4D23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Overall Objective and Voluntary Application</w:t>
      </w:r>
      <w:r w:rsidRPr="00B62033">
        <w:br/>
        <w:t>The objective of reflecting the economic effects of net repricing risk management is appropriate.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Retaining voluntary application is welcome; however, additional clarity on consistency requirements once adopted would enhance comparability.</w:t>
      </w:r>
    </w:p>
    <w:p w14:paraId="0FB81B4C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Scope and Eligibility Criteria</w:t>
      </w:r>
      <w:r w:rsidRPr="00B62033">
        <w:br/>
        <w:t>The characteristics specified for applying risk mitigation accounting are conceptually sound.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Provide simplified guidance or illustrations for borderline cases to assist entities in assessing eligibility, particularly for non-banking entities.</w:t>
      </w:r>
    </w:p>
    <w:p w14:paraId="24FBF573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Underlying Portfolios and Net Repricing Risk Exposure</w:t>
      </w:r>
      <w:r w:rsidRPr="00B62033">
        <w:br/>
        <w:t>Aggregation of repricing risk based on expected repricing dates aligns with risk management practices.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Allow greater flexibility in determining repricing time bands, especially where entities use multiple internal risk metrics.</w:t>
      </w:r>
    </w:p>
    <w:p w14:paraId="7103F126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Designated Derivatives</w:t>
      </w:r>
      <w:r w:rsidRPr="00B62033">
        <w:br/>
        <w:t>Restricting designated derivatives to external interest rate derivatives is appropriate.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Clarify treatment where entities use layered or proxy hedging instruments for operational reasons.</w:t>
      </w:r>
    </w:p>
    <w:p w14:paraId="3F473DBC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Risk Mitigation Objective and Benchmark Derivatives</w:t>
      </w:r>
      <w:r w:rsidRPr="00B62033">
        <w:br/>
        <w:t>The use of benchmark derivatives to represent risk mitigation objectives is conceptually robust.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Provide illustrative examples demonstrating construction and adjustment of benchmark derivatives in common scenarios.</w:t>
      </w:r>
    </w:p>
    <w:p w14:paraId="2B1823C0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Recognition and Measurement of Risk Mitigation Adjustment</w:t>
      </w:r>
      <w:r w:rsidRPr="00B62033">
        <w:br/>
        <w:t>The approach of deferring gains or losses to align with repricing effects enhances faithful representation.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Additional guidance on assessing “non-realisation” of risk mitigation adjustment would reduce subjectivity.</w:t>
      </w:r>
    </w:p>
    <w:p w14:paraId="5820370B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Discontinuation and Changes in Strategy</w:t>
      </w:r>
      <w:r w:rsidRPr="00B62033">
        <w:br/>
        <w:t>Prospective discontinuation linked to changes in risk management strategy is appropriate.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Clarify what constitutes a significant versus routine operational change to avoid inconsistent application.</w:t>
      </w:r>
    </w:p>
    <w:p w14:paraId="66EC86F9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Transition Provisions and Withdrawal of IAS 39</w:t>
      </w:r>
      <w:r w:rsidRPr="00B62033">
        <w:br/>
        <w:t>Prospective application and relief from certain disclosures are practical.</w:t>
      </w:r>
      <w:r w:rsidRPr="00B62033">
        <w:br/>
      </w:r>
      <w:r w:rsidRPr="00B62033">
        <w:rPr>
          <w:i/>
          <w:iCs/>
        </w:rPr>
        <w:t>Suggestion:</w:t>
      </w:r>
      <w:r w:rsidRPr="00B62033">
        <w:t xml:space="preserve"> Consider extended transition relief for entities migrating from IAS 39 macro hedge accounting due to system and data complexities.</w:t>
      </w:r>
    </w:p>
    <w:p w14:paraId="1B02E077" w14:textId="77777777" w:rsidR="00B62033" w:rsidRPr="00B62033" w:rsidRDefault="00B62033" w:rsidP="00B62033">
      <w:pPr>
        <w:numPr>
          <w:ilvl w:val="0"/>
          <w:numId w:val="1"/>
        </w:numPr>
      </w:pPr>
      <w:r w:rsidRPr="00B62033">
        <w:rPr>
          <w:b/>
          <w:bCs/>
        </w:rPr>
        <w:t>Disclosure Requirements (IFRS 7 Amendments)</w:t>
      </w:r>
      <w:r w:rsidRPr="00B62033">
        <w:br/>
        <w:t>Enhanced qualitative and quantitative disclosures will improve transparency.</w:t>
      </w:r>
      <w:r w:rsidRPr="00B62033">
        <w:br/>
      </w:r>
      <w:r w:rsidRPr="00B62033">
        <w:rPr>
          <w:i/>
          <w:iCs/>
        </w:rPr>
        <w:lastRenderedPageBreak/>
        <w:t>Suggestion:</w:t>
      </w:r>
      <w:r w:rsidRPr="00B62033">
        <w:t xml:space="preserve"> Balance disclosure requirements with practicality to avoid excessive reporting burden, particularly for entities choosing not to apply risk mitigation accounting.</w:t>
      </w:r>
    </w:p>
    <w:p w14:paraId="5869FF2F" w14:textId="77777777" w:rsidR="00B62033" w:rsidRPr="00B62033" w:rsidRDefault="00B62033" w:rsidP="00B62033">
      <w:r w:rsidRPr="00B62033">
        <w:rPr>
          <w:b/>
          <w:bCs/>
        </w:rPr>
        <w:t>Conclusion</w:t>
      </w:r>
      <w:r w:rsidRPr="00B62033">
        <w:br/>
        <w:t>We support the direction and intent of the proposed Risk Mitigation Accounting model. Incorporation of the above suggestions would further improve clarity, operational feasibility, and consistent application across entities and jurisdictions.</w:t>
      </w:r>
    </w:p>
    <w:p w14:paraId="756F92A0" w14:textId="77777777" w:rsidR="00B62033" w:rsidRPr="00B62033" w:rsidRDefault="00B62033" w:rsidP="00B62033">
      <w:r w:rsidRPr="00B62033">
        <w:t>We thank the IASB for providing the opportunity to submit our comments.</w:t>
      </w:r>
    </w:p>
    <w:p w14:paraId="5458FB2F" w14:textId="77777777" w:rsidR="00B62033" w:rsidRPr="00B62033" w:rsidRDefault="00B62033" w:rsidP="00B62033">
      <w:r w:rsidRPr="00B62033">
        <w:t>Yours faithfully,</w:t>
      </w:r>
    </w:p>
    <w:p w14:paraId="74A92C0A" w14:textId="2F1DE5B6" w:rsidR="00B62033" w:rsidRPr="00B62033" w:rsidRDefault="00B62033" w:rsidP="00B62033">
      <w:r w:rsidRPr="00B62033">
        <w:rPr>
          <w:b/>
          <w:bCs/>
        </w:rPr>
        <w:t>For and on behalf of</w:t>
      </w:r>
      <w:r w:rsidRPr="00B62033">
        <w:br/>
        <w:t>Pimpri Chinchwad </w:t>
      </w:r>
      <w:r w:rsidRPr="00B62033">
        <w:br/>
        <w:t xml:space="preserve">Bhanavi </w:t>
      </w:r>
      <w:proofErr w:type="spellStart"/>
      <w:r w:rsidRPr="00B62033">
        <w:t>Baldota</w:t>
      </w:r>
      <w:proofErr w:type="spellEnd"/>
      <w:r w:rsidRPr="00B62033">
        <w:br/>
        <w:t>640732</w:t>
      </w:r>
    </w:p>
    <w:p w14:paraId="7F76BDBB" w14:textId="77777777" w:rsidR="00A3429C" w:rsidRDefault="00A3429C"/>
    <w:sectPr w:rsidR="00A3429C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B13EDC"/>
    <w:multiLevelType w:val="multilevel"/>
    <w:tmpl w:val="8FC85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8426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18"/>
    <w:rsid w:val="000A2560"/>
    <w:rsid w:val="001D6927"/>
    <w:rsid w:val="00322F72"/>
    <w:rsid w:val="00332E5C"/>
    <w:rsid w:val="0038319A"/>
    <w:rsid w:val="00595218"/>
    <w:rsid w:val="007A412E"/>
    <w:rsid w:val="00861F08"/>
    <w:rsid w:val="009E4406"/>
    <w:rsid w:val="00A3429C"/>
    <w:rsid w:val="00B62033"/>
    <w:rsid w:val="00BC780A"/>
    <w:rsid w:val="00C1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A3505"/>
  <w15:chartTrackingRefBased/>
  <w15:docId w15:val="{FBDA81C7-29A9-47D4-9053-C260ED6EE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2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2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2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2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2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2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2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2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2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218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218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218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2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2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2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2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2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2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2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521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2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521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52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2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2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2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2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2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2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2</cp:revision>
  <dcterms:created xsi:type="dcterms:W3CDTF">2025-12-29T06:31:00Z</dcterms:created>
  <dcterms:modified xsi:type="dcterms:W3CDTF">2025-12-29T06:31:00Z</dcterms:modified>
</cp:coreProperties>
</file>