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425" w:rsidRDefault="00A767DA">
      <w:pPr>
        <w:pStyle w:val="Heading1"/>
      </w:pPr>
      <w:r>
        <w:t>Comments on Exposure Draft</w:t>
      </w:r>
    </w:p>
    <w:p w:rsidR="00807425" w:rsidRDefault="00A767DA">
      <w:r>
        <w:t>Amendments to Ind AS 21 – Translation to a Hyperinflationary Presentation Currency</w:t>
      </w:r>
      <w:r>
        <w:br/>
      </w:r>
    </w:p>
    <w:p w:rsidR="00807425" w:rsidRDefault="00A767DA">
      <w:r>
        <w:t>To</w:t>
      </w:r>
      <w:r>
        <w:br/>
        <w:t>The Accounting Standards Board</w:t>
      </w:r>
      <w:r>
        <w:br/>
        <w:t>The Institute of Chartered Accountants of India</w:t>
      </w:r>
      <w:r>
        <w:br/>
        <w:t>New Delhi</w:t>
      </w:r>
      <w:r>
        <w:br/>
      </w:r>
    </w:p>
    <w:p w:rsidR="00A767DA" w:rsidRDefault="00A767DA">
      <w:r>
        <w:t>Subject: Comments on Exposure Draft – Amendments to</w:t>
      </w:r>
      <w:r>
        <w:t xml:space="preserve"> Ind AS 21: Translation to a Hyperinflationary Presentation Currency</w:t>
      </w:r>
      <w:r>
        <w:br/>
      </w:r>
    </w:p>
    <w:p w:rsidR="00807425" w:rsidRDefault="00A767DA">
      <w:r>
        <w:t>Respected Sir/Madam</w:t>
      </w:r>
      <w:proofErr w:type="gramStart"/>
      <w:r>
        <w:t>,</w:t>
      </w:r>
      <w:proofErr w:type="gramEnd"/>
      <w:r>
        <w:br/>
      </w:r>
      <w:r>
        <w:br/>
        <w:t>We appreciate the Accounting Standards Board for issuing the Exposure Draft on ‘Translation to a Hyperinflationary Presentation Currency’. The proposed amendments p</w:t>
      </w:r>
      <w:r>
        <w:t>rovide much-needed clarity where an entity’s presentation currency is hyperinflationary while its functional currency is non-hyperinflationary. Overall, the amendments are aligned with international developments and will improve consistency and comparabili</w:t>
      </w:r>
      <w:r>
        <w:t>ty of financial statements.</w:t>
      </w:r>
      <w:r>
        <w:br/>
      </w:r>
    </w:p>
    <w:p w:rsidR="00807425" w:rsidRDefault="00A767DA">
      <w:pPr>
        <w:pStyle w:val="Heading2"/>
      </w:pPr>
      <w:r>
        <w:t>Specific Comments</w:t>
      </w:r>
    </w:p>
    <w:p w:rsidR="00807425" w:rsidRDefault="00A767DA">
      <w:r>
        <w:t>1. Translation Method under Paragraph 41A</w:t>
      </w:r>
      <w:r>
        <w:br/>
      </w:r>
      <w:proofErr w:type="gramStart"/>
      <w:r>
        <w:t>The</w:t>
      </w:r>
      <w:proofErr w:type="gramEnd"/>
      <w:r>
        <w:t xml:space="preserve"> requirement to translate all items, including income and expenses, at the closing rate simplifies application. However, translating income and expenses at the clos</w:t>
      </w:r>
      <w:r>
        <w:t>ing rate may reduce relevance of period performance where exchange rates are volatile. Consideration may be given to permitting use of average rates as a practical expedient where results are not materially different.</w:t>
      </w:r>
      <w:r>
        <w:br/>
      </w:r>
    </w:p>
    <w:p w:rsidR="00807425" w:rsidRDefault="00A767DA">
      <w:r>
        <w:t>2. Treatment of Comparative Informati</w:t>
      </w:r>
      <w:r>
        <w:t>on (Paragraphs 41A and 47A)</w:t>
      </w:r>
      <w:r>
        <w:br/>
        <w:t>The different treatment of comparatives under paragraphs 41A and 47A may create complexity for preparers and users. Additional illustrative examples or application guidance explaining the interaction between Ind AS 21 and Ind AS</w:t>
      </w:r>
      <w:r>
        <w:t xml:space="preserve"> 29 would be beneficial.</w:t>
      </w:r>
      <w:r>
        <w:br/>
      </w:r>
    </w:p>
    <w:p w:rsidR="00807425" w:rsidRDefault="00A767DA">
      <w:r>
        <w:t>3. Cessation of Hyperinflation (Paragraph 41B)</w:t>
      </w:r>
      <w:r>
        <w:br/>
        <w:t xml:space="preserve">The prospective application when the presentation currency ceases to be hyperinflationary is appropriate. Clarification may be provided regarding treatment of retained earnings </w:t>
      </w:r>
      <w:r>
        <w:lastRenderedPageBreak/>
        <w:t>accumu</w:t>
      </w:r>
      <w:r>
        <w:t>lated under paragraph 41A at the transition date.</w:t>
      </w:r>
      <w:r>
        <w:br/>
      </w:r>
    </w:p>
    <w:p w:rsidR="00807425" w:rsidRDefault="00A767DA">
      <w:r>
        <w:t>4. Disclosure Requirements (Paragraphs 53A and 53B)</w:t>
      </w:r>
      <w:r>
        <w:br/>
        <w:t>The enhanced disclosures improve transparency. However, disclosure of summarised financial information for all foreign operations may be onerous for enti</w:t>
      </w:r>
      <w:r>
        <w:t>ties with multiple foreign operations. A materiality-based or aggregation approach may be considered.</w:t>
      </w:r>
      <w:r>
        <w:br/>
      </w:r>
    </w:p>
    <w:p w:rsidR="00807425" w:rsidRDefault="00A767DA">
      <w:r>
        <w:t>5. Effective Date and Transition (Paragraph 60P)</w:t>
      </w:r>
      <w:r>
        <w:br/>
        <w:t>The proposed effective date of 1 April 2027 is reasonable. Explicit permission for early adoption may be</w:t>
      </w:r>
      <w:r>
        <w:t xml:space="preserve"> considered to facilitate smoother transition for entities already affected.</w:t>
      </w:r>
      <w:r>
        <w:br/>
      </w:r>
    </w:p>
    <w:p w:rsidR="00807425" w:rsidRDefault="00A767DA">
      <w:pPr>
        <w:pStyle w:val="Heading2"/>
      </w:pPr>
      <w:r>
        <w:t>Conclusion</w:t>
      </w:r>
    </w:p>
    <w:p w:rsidR="00807425" w:rsidRDefault="00A767DA">
      <w:r>
        <w:t>We support the proposed amendments to Ind AS 21. Subject to the above suggestions, the amendments will enhance clarity, consistency and usefulness of financial stateme</w:t>
      </w:r>
      <w:r>
        <w:t>nts.</w:t>
      </w:r>
      <w:r>
        <w:br/>
      </w:r>
      <w:r>
        <w:br/>
        <w:t>We thank the Board for providing the opportunity to submit our comments.</w:t>
      </w:r>
      <w:r>
        <w:br/>
      </w:r>
      <w:r>
        <w:br/>
        <w:t>Yours faithfully,</w:t>
      </w:r>
      <w:r>
        <w:br/>
      </w:r>
      <w:r>
        <w:br/>
      </w:r>
    </w:p>
    <w:sectPr w:rsidR="00807425" w:rsidSect="0003461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B47730"/>
    <w:rsid w:val="00034616"/>
    <w:rsid w:val="0006063C"/>
    <w:rsid w:val="0015074B"/>
    <w:rsid w:val="0029639D"/>
    <w:rsid w:val="00326F90"/>
    <w:rsid w:val="00807425"/>
    <w:rsid w:val="00A767DA"/>
    <w:rsid w:val="00AA1D8D"/>
    <w:rsid w:val="00B47730"/>
    <w:rsid w:val="00CB0664"/>
    <w:rsid w:val="00FC69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396</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2654</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REDDY</cp:lastModifiedBy>
  <cp:revision>2</cp:revision>
  <dcterms:created xsi:type="dcterms:W3CDTF">2013-12-23T23:15:00Z</dcterms:created>
  <dcterms:modified xsi:type="dcterms:W3CDTF">2025-12-29T12:01:00Z</dcterms:modified>
  <cp:category/>
</cp:coreProperties>
</file>