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From</w:t>
      </w:r>
    </w:p>
    <w:p w:rsid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Sivakasi branch of SIRC of ICAI</w:t>
      </w:r>
    </w:p>
    <w:p w:rsidR="00680B81" w:rsidRPr="00680B81" w:rsidRDefault="00680B81" w:rsidP="00680B81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sz w:val="24"/>
          <w:szCs w:val="24"/>
        </w:rPr>
        <w:t>To</w:t>
      </w:r>
      <w:r w:rsidRPr="00680B81">
        <w:rPr>
          <w:rFonts w:ascii="Book Antiqua" w:eastAsia="Times New Roman" w:hAnsi="Book Antiqua" w:cs="Times New Roman"/>
          <w:sz w:val="24"/>
          <w:szCs w:val="24"/>
        </w:rPr>
        <w:br/>
        <w:t>The Secretary</w:t>
      </w:r>
      <w:r w:rsidRPr="00680B81">
        <w:rPr>
          <w:rFonts w:ascii="Book Antiqua" w:eastAsia="Times New Roman" w:hAnsi="Book Antiqua" w:cs="Times New Roman"/>
          <w:sz w:val="24"/>
          <w:szCs w:val="24"/>
        </w:rPr>
        <w:br/>
        <w:t>Accounting Standards Board</w:t>
      </w:r>
      <w:r>
        <w:rPr>
          <w:rFonts w:ascii="Book Antiqua" w:eastAsia="Times New Roman" w:hAnsi="Book Antiqua" w:cs="Times New Roman"/>
          <w:sz w:val="24"/>
          <w:szCs w:val="24"/>
        </w:rPr>
        <w:t xml:space="preserve"> - ASB</w:t>
      </w:r>
      <w:r w:rsidRPr="00680B81">
        <w:rPr>
          <w:rFonts w:ascii="Book Antiqua" w:eastAsia="Times New Roman" w:hAnsi="Book Antiqua" w:cs="Times New Roman"/>
          <w:sz w:val="24"/>
          <w:szCs w:val="24"/>
        </w:rPr>
        <w:br/>
      </w:r>
      <w:proofErr w:type="gramStart"/>
      <w:r w:rsidRPr="00680B81">
        <w:rPr>
          <w:rFonts w:ascii="Book Antiqua" w:eastAsia="Times New Roman" w:hAnsi="Book Antiqua" w:cs="Times New Roman"/>
          <w:sz w:val="24"/>
          <w:szCs w:val="24"/>
        </w:rPr>
        <w:t>The</w:t>
      </w:r>
      <w:proofErr w:type="gramEnd"/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Institute of Chartered Accountants of India</w:t>
      </w:r>
    </w:p>
    <w:p w:rsidR="00680B81" w:rsidRPr="00680B81" w:rsidRDefault="00680B81" w:rsidP="00680B81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Subject: Comments on Exposure Draft – Risk Mitigation Accounting (Amendments to IFRS 9 &amp; IFRS 7)</w:t>
      </w:r>
    </w:p>
    <w:p w:rsidR="00680B81" w:rsidRPr="00680B81" w:rsidRDefault="00680B81" w:rsidP="00680B81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sz w:val="24"/>
          <w:szCs w:val="24"/>
        </w:rPr>
        <w:t>Respected Sir,</w:t>
      </w:r>
    </w:p>
    <w:p w:rsidR="00680B81" w:rsidRPr="00680B81" w:rsidRDefault="00680B81" w:rsidP="00680B8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I appreciate the initiative of the ASB in introducing the </w:t>
      </w:r>
      <w:r w:rsidRPr="00680B81">
        <w:rPr>
          <w:rFonts w:ascii="Book Antiqua" w:eastAsia="Times New Roman" w:hAnsi="Book Antiqua" w:cs="Times New Roman"/>
          <w:b/>
          <w:sz w:val="24"/>
          <w:szCs w:val="24"/>
        </w:rPr>
        <w:t>proposed model for Risk Mitigation Accounting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, which aims to better align accounting outcomes with entities’ risk management practices, particularly in respect of </w:t>
      </w:r>
      <w:proofErr w:type="spellStart"/>
      <w:r w:rsidRPr="00680B81">
        <w:rPr>
          <w:rFonts w:ascii="Book Antiqua" w:eastAsia="Times New Roman" w:hAnsi="Book Antiqua" w:cs="Times New Roman"/>
          <w:sz w:val="24"/>
          <w:szCs w:val="24"/>
        </w:rPr>
        <w:t>repricing</w:t>
      </w:r>
      <w:proofErr w:type="spellEnd"/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risk. The proposal is timely and conceptually sound, and has the potential to enhance the relevance and transparency of financial reporting.</w:t>
      </w:r>
    </w:p>
    <w:p w:rsidR="00680B81" w:rsidRPr="00680B81" w:rsidRDefault="00680B81" w:rsidP="00680B81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sz w:val="24"/>
          <w:szCs w:val="24"/>
        </w:rPr>
        <w:t>However, based on practical considerations, the following key observations are submitted:</w:t>
      </w:r>
    </w:p>
    <w:p w:rsidR="00680B81" w:rsidRP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Scope and Applicability: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The scope appears predominantly banking-oriented. Greater clarity is required regarding applicability to non-banking entities to avoid ambiguity.</w:t>
      </w:r>
    </w:p>
    <w:p w:rsidR="00680B81" w:rsidRP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Underlying Portfolio &amp; Risk Identification: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Signi</w:t>
      </w:r>
      <w:bookmarkStart w:id="0" w:name="_GoBack"/>
      <w:bookmarkEnd w:id="0"/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ficant judgment is involved in identifying portfolios and </w:t>
      </w:r>
      <w:proofErr w:type="spellStart"/>
      <w:r w:rsidRPr="00680B81">
        <w:rPr>
          <w:rFonts w:ascii="Book Antiqua" w:eastAsia="Times New Roman" w:hAnsi="Book Antiqua" w:cs="Times New Roman"/>
          <w:sz w:val="24"/>
          <w:szCs w:val="24"/>
        </w:rPr>
        <w:t>repricing</w:t>
      </w:r>
      <w:proofErr w:type="spellEnd"/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risk, which may lead to inconsistent application. Clear principles and illustrative guidance would improve comparability.</w:t>
      </w:r>
    </w:p>
    <w:p w:rsidR="00680B81" w:rsidRP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Measurement and Operational Complexity: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While the proposed model is conceptually robust, its implementation may be complex. Practical examples and numerical illustrations would aid understanding and application.</w:t>
      </w:r>
    </w:p>
    <w:p w:rsidR="00680B81" w:rsidRP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Rebalancing and Strategy Changes: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The requirements relating to rebalancing and </w:t>
      </w:r>
      <w:proofErr w:type="spellStart"/>
      <w:r w:rsidRPr="00680B81">
        <w:rPr>
          <w:rFonts w:ascii="Book Antiqua" w:eastAsia="Times New Roman" w:hAnsi="Book Antiqua" w:cs="Times New Roman"/>
          <w:sz w:val="24"/>
          <w:szCs w:val="24"/>
        </w:rPr>
        <w:t>redesignation</w:t>
      </w:r>
      <w:proofErr w:type="spellEnd"/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may create operational challenges. Simplification and clarity on triggers and documentation would be beneficial.</w:t>
      </w:r>
    </w:p>
    <w:p w:rsidR="00680B81" w:rsidRP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Transition and Cost Considerations: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Implementation may require significant system and process changes. Adequate transition time, relief measures, and field testing are essential to ensure smooth adoption.</w:t>
      </w:r>
    </w:p>
    <w:p w:rsidR="00680B81" w:rsidRDefault="00680B81" w:rsidP="000D5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  <w:r w:rsidRPr="00680B81">
        <w:rPr>
          <w:rFonts w:ascii="Book Antiqua" w:eastAsia="Times New Roman" w:hAnsi="Book Antiqua" w:cs="Times New Roman"/>
          <w:b/>
          <w:bCs/>
          <w:sz w:val="24"/>
          <w:szCs w:val="24"/>
        </w:rPr>
        <w:t>Consistency and Comparability:</w:t>
      </w:r>
      <w:r w:rsidRPr="00680B81">
        <w:rPr>
          <w:rFonts w:ascii="Book Antiqua" w:eastAsia="Times New Roman" w:hAnsi="Book Antiqua" w:cs="Times New Roman"/>
          <w:sz w:val="24"/>
          <w:szCs w:val="24"/>
        </w:rPr>
        <w:t xml:space="preserve"> Without sufficient guidance, divergent practices may emerge. Strengthened application guidance and case studies would support uniform implementation.</w:t>
      </w:r>
    </w:p>
    <w:p w:rsid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With regards,</w:t>
      </w:r>
    </w:p>
    <w:p w:rsidR="00680B81" w:rsidRPr="00680B81" w:rsidRDefault="00680B81" w:rsidP="00680B8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ICAI Sivakasi branch (SIRC)</w:t>
      </w:r>
    </w:p>
    <w:p w:rsidR="00D35545" w:rsidRPr="00680B81" w:rsidRDefault="00D35545" w:rsidP="00680B81">
      <w:pPr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</w:rPr>
      </w:pPr>
    </w:p>
    <w:sectPr w:rsidR="00D35545" w:rsidRPr="00680B81" w:rsidSect="00680B81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B6FE4"/>
    <w:multiLevelType w:val="multilevel"/>
    <w:tmpl w:val="8B585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B81"/>
    <w:rsid w:val="000D5E3E"/>
    <w:rsid w:val="00680B81"/>
    <w:rsid w:val="00D3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80B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80B8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80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0B8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80B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80B8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80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0B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1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2026-04-15T11:20:00Z</dcterms:created>
  <dcterms:modified xsi:type="dcterms:W3CDTF">2026-04-15T11:26:00Z</dcterms:modified>
</cp:coreProperties>
</file>